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E1" w:rsidRDefault="001C42E1" w:rsidP="001C42E1"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54B2AC61" wp14:editId="658BF029">
            <wp:simplePos x="0" y="0"/>
            <wp:positionH relativeFrom="page">
              <wp:posOffset>5213350</wp:posOffset>
            </wp:positionH>
            <wp:positionV relativeFrom="page">
              <wp:posOffset>685800</wp:posOffset>
            </wp:positionV>
            <wp:extent cx="1945005" cy="730250"/>
            <wp:effectExtent l="0" t="0" r="0" b="0"/>
            <wp:wrapThrough wrapText="bothSides">
              <wp:wrapPolygon edited="0">
                <wp:start x="1410" y="3005"/>
                <wp:lineTo x="1410" y="10518"/>
                <wp:lineTo x="1975" y="16529"/>
                <wp:lineTo x="3385" y="19534"/>
                <wp:lineTo x="5359" y="19534"/>
                <wp:lineTo x="6206" y="16529"/>
                <wp:lineTo x="19745" y="16529"/>
                <wp:lineTo x="19745" y="6010"/>
                <wp:lineTo x="7052" y="3005"/>
                <wp:lineTo x="1410" y="3005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U_MAS_HOR_CMYK_POS.a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42E1" w:rsidRDefault="001C42E1" w:rsidP="001C42E1"/>
    <w:p w:rsidR="001C42E1" w:rsidRDefault="001C42E1" w:rsidP="001C42E1"/>
    <w:p w:rsidR="001C42E1" w:rsidRDefault="001C42E1" w:rsidP="001C42E1"/>
    <w:p w:rsidR="001C42E1" w:rsidRDefault="001C42E1" w:rsidP="001C42E1"/>
    <w:p w:rsidR="001C42E1" w:rsidRDefault="001C7942" w:rsidP="001D6EB3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APPROVAL TO PROCEED CHECKLIST</w:t>
      </w:r>
    </w:p>
    <w:p w:rsidR="001C7942" w:rsidRPr="001C42E1" w:rsidRDefault="001C7942" w:rsidP="001D6EB3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Policy Cycle Stage 1</w:t>
      </w:r>
    </w:p>
    <w:p w:rsidR="001C42E1" w:rsidRPr="00DA1736" w:rsidRDefault="001C42E1" w:rsidP="001C42E1">
      <w:pPr>
        <w:rPr>
          <w:rFonts w:ascii="Arial" w:hAnsi="Arial" w:cs="Arial"/>
          <w:b/>
          <w:sz w:val="22"/>
          <w:szCs w:val="22"/>
        </w:rPr>
      </w:pPr>
    </w:p>
    <w:p w:rsidR="001C7942" w:rsidRPr="00DA1736" w:rsidRDefault="001C7942" w:rsidP="001C42E1">
      <w:pPr>
        <w:rPr>
          <w:rFonts w:ascii="Arial" w:hAnsi="Arial" w:cs="Arial"/>
          <w:b/>
          <w:i/>
          <w:sz w:val="22"/>
          <w:szCs w:val="22"/>
        </w:rPr>
      </w:pPr>
      <w:r w:rsidRPr="00DA1736">
        <w:rPr>
          <w:rFonts w:ascii="Arial" w:hAnsi="Arial" w:cs="Arial"/>
          <w:b/>
          <w:i/>
          <w:sz w:val="22"/>
          <w:szCs w:val="22"/>
        </w:rPr>
        <w:t xml:space="preserve">Complete this checklist and send to the relevant Approval Authority and the </w:t>
      </w:r>
      <w:hyperlink r:id="rId9" w:history="1">
        <w:r w:rsidRPr="00DA1736">
          <w:rPr>
            <w:rStyle w:val="Hyperlink"/>
            <w:rFonts w:ascii="Arial" w:hAnsi="Arial" w:cs="Arial"/>
            <w:b/>
            <w:i/>
            <w:sz w:val="22"/>
            <w:szCs w:val="22"/>
          </w:rPr>
          <w:t>Policy Unit</w:t>
        </w:r>
      </w:hyperlink>
      <w:r w:rsidRPr="00DA173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1C7942" w:rsidRPr="00DA1736" w:rsidRDefault="001C7942" w:rsidP="001C7942">
      <w:pP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eastAsia="en-AU"/>
        </w:rPr>
      </w:pPr>
      <w:r w:rsidRPr="00DA1736">
        <w:rPr>
          <w:rFonts w:ascii="Arial" w:hAnsi="Arial" w:cs="Arial"/>
          <w:b/>
          <w:sz w:val="22"/>
          <w:szCs w:val="22"/>
          <w:lang w:eastAsia="en-AU"/>
        </w:rPr>
        <w:t>Title of Policy Document(s)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  <w:r w:rsidRPr="00DA1736">
        <w:rPr>
          <w:rFonts w:ascii="Arial" w:hAnsi="Arial" w:cs="Arial"/>
          <w:b/>
          <w:sz w:val="22"/>
          <w:szCs w:val="22"/>
          <w:lang w:eastAsia="en-AU"/>
        </w:rPr>
        <w:t xml:space="preserve">Date the Policy Document(s) need to come into force </w:t>
      </w:r>
      <w:r w:rsidRPr="00DA1736">
        <w:rPr>
          <w:rFonts w:ascii="Arial" w:hAnsi="Arial" w:cs="Arial"/>
          <w:sz w:val="22"/>
          <w:szCs w:val="22"/>
          <w:lang w:eastAsia="en-AU"/>
        </w:rPr>
        <w:t>(</w:t>
      </w:r>
      <w:proofErr w:type="spellStart"/>
      <w:r w:rsidRPr="00DA1736">
        <w:rPr>
          <w:rFonts w:ascii="Arial" w:hAnsi="Arial" w:cs="Arial"/>
          <w:i/>
          <w:sz w:val="22"/>
          <w:szCs w:val="22"/>
          <w:lang w:eastAsia="en-AU"/>
        </w:rPr>
        <w:t>eg</w:t>
      </w:r>
      <w:proofErr w:type="spellEnd"/>
      <w:r w:rsidRPr="00DA1736">
        <w:rPr>
          <w:rFonts w:ascii="Arial" w:hAnsi="Arial" w:cs="Arial"/>
          <w:i/>
          <w:sz w:val="22"/>
          <w:szCs w:val="22"/>
          <w:lang w:eastAsia="en-AU"/>
        </w:rPr>
        <w:t xml:space="preserve"> </w:t>
      </w:r>
      <w:proofErr w:type="gramStart"/>
      <w:r w:rsidRPr="00DA1736">
        <w:rPr>
          <w:rFonts w:ascii="Arial" w:hAnsi="Arial" w:cs="Arial"/>
          <w:i/>
          <w:sz w:val="22"/>
          <w:szCs w:val="22"/>
          <w:lang w:eastAsia="en-AU"/>
        </w:rPr>
        <w:t>For</w:t>
      </w:r>
      <w:proofErr w:type="gramEnd"/>
      <w:r w:rsidRPr="00DA1736">
        <w:rPr>
          <w:rFonts w:ascii="Arial" w:hAnsi="Arial" w:cs="Arial"/>
          <w:i/>
          <w:sz w:val="22"/>
          <w:szCs w:val="22"/>
          <w:lang w:eastAsia="en-AU"/>
        </w:rPr>
        <w:t xml:space="preserve"> Units with a tea</w:t>
      </w:r>
      <w:r w:rsidR="0075521C">
        <w:rPr>
          <w:rFonts w:ascii="Arial" w:hAnsi="Arial" w:cs="Arial"/>
          <w:i/>
          <w:sz w:val="22"/>
          <w:szCs w:val="22"/>
          <w:lang w:eastAsia="en-AU"/>
        </w:rPr>
        <w:t xml:space="preserve">ching start date of Session 2; </w:t>
      </w:r>
      <w:r w:rsidRPr="00DA1736">
        <w:rPr>
          <w:rFonts w:ascii="Arial" w:hAnsi="Arial" w:cs="Arial"/>
          <w:i/>
          <w:sz w:val="22"/>
          <w:szCs w:val="22"/>
          <w:lang w:eastAsia="en-AU"/>
        </w:rPr>
        <w:t>next financial year; ASAP)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eastAsia="en-AU"/>
        </w:rPr>
      </w:pPr>
      <w:r w:rsidRPr="00DA1736">
        <w:rPr>
          <w:rFonts w:ascii="Arial" w:hAnsi="Arial" w:cs="Arial"/>
          <w:b/>
          <w:sz w:val="22"/>
          <w:szCs w:val="22"/>
          <w:lang w:eastAsia="en-AU"/>
        </w:rPr>
        <w:t>Identify any Policy Document(s) or supporting documentation that may also need development or review as a result of this proposal</w:t>
      </w:r>
      <w:r w:rsidR="005F261B">
        <w:rPr>
          <w:rFonts w:ascii="Arial" w:hAnsi="Arial" w:cs="Arial"/>
          <w:b/>
          <w:sz w:val="22"/>
          <w:szCs w:val="22"/>
          <w:lang w:eastAsia="en-AU"/>
        </w:rPr>
        <w:t xml:space="preserve"> and expected completion dates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  <w:lang w:eastAsia="en-AU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proofErr w:type="spellStart"/>
      <w:r w:rsidRPr="00DA1736">
        <w:rPr>
          <w:rFonts w:ascii="Arial" w:hAnsi="Arial" w:cs="Arial"/>
          <w:b/>
          <w:sz w:val="22"/>
          <w:szCs w:val="22"/>
          <w:lang w:eastAsia="en-AU"/>
        </w:rPr>
        <w:t>Summarise</w:t>
      </w:r>
      <w:proofErr w:type="spellEnd"/>
      <w:r w:rsidRPr="00DA1736">
        <w:rPr>
          <w:rFonts w:ascii="Arial" w:hAnsi="Arial" w:cs="Arial"/>
          <w:b/>
          <w:sz w:val="22"/>
          <w:szCs w:val="22"/>
          <w:lang w:eastAsia="en-AU"/>
        </w:rPr>
        <w:t xml:space="preserve"> the reasons </w:t>
      </w:r>
      <w:r w:rsidRPr="00DA1736">
        <w:rPr>
          <w:rFonts w:ascii="Arial" w:hAnsi="Arial" w:cs="Arial"/>
          <w:b/>
          <w:sz w:val="22"/>
          <w:szCs w:val="22"/>
        </w:rPr>
        <w:t>why a new Policy Document or an amendment to an existing document is required</w:t>
      </w:r>
      <w:r w:rsidRPr="00DA1736">
        <w:rPr>
          <w:rFonts w:ascii="Arial" w:hAnsi="Arial" w:cs="Arial"/>
          <w:sz w:val="22"/>
          <w:szCs w:val="22"/>
        </w:rPr>
        <w:t xml:space="preserve">.  [Refer to: </w:t>
      </w:r>
      <w:r w:rsidRPr="00DA1736">
        <w:rPr>
          <w:rFonts w:ascii="Arial" w:hAnsi="Arial" w:cs="Arial"/>
          <w:i/>
          <w:sz w:val="22"/>
          <w:szCs w:val="22"/>
        </w:rPr>
        <w:t>Attachment 1 When is a Policy document required?</w:t>
      </w:r>
      <w:r w:rsidRPr="00DA1736">
        <w:rPr>
          <w:rFonts w:ascii="Arial" w:hAnsi="Arial" w:cs="Arial"/>
          <w:sz w:val="22"/>
          <w:szCs w:val="22"/>
        </w:rPr>
        <w:t xml:space="preserve"> and </w:t>
      </w:r>
      <w:r w:rsidRPr="00DA1736">
        <w:rPr>
          <w:rFonts w:ascii="Arial" w:hAnsi="Arial" w:cs="Arial"/>
          <w:i/>
          <w:sz w:val="22"/>
          <w:szCs w:val="22"/>
        </w:rPr>
        <w:t>Policy Cycle Stage 1 Tip Sheet</w:t>
      </w:r>
      <w:r w:rsidRPr="00DA1736">
        <w:rPr>
          <w:rFonts w:ascii="Arial" w:hAnsi="Arial" w:cs="Arial"/>
          <w:sz w:val="22"/>
          <w:szCs w:val="22"/>
        </w:rPr>
        <w:t>]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i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t xml:space="preserve">Indicate who has already been consulted on this proposal </w:t>
      </w:r>
      <w:r w:rsidR="005F261B">
        <w:rPr>
          <w:rFonts w:ascii="Arial" w:hAnsi="Arial" w:cs="Arial"/>
          <w:b/>
          <w:sz w:val="22"/>
          <w:szCs w:val="22"/>
        </w:rPr>
        <w:t>(including committees)</w:t>
      </w:r>
      <w:r w:rsidR="005F261B" w:rsidRPr="00DA1736">
        <w:rPr>
          <w:rFonts w:ascii="Arial" w:hAnsi="Arial" w:cs="Arial"/>
          <w:sz w:val="22"/>
          <w:szCs w:val="22"/>
        </w:rPr>
        <w:t xml:space="preserve"> </w:t>
      </w:r>
      <w:r w:rsidRPr="00DA1736">
        <w:rPr>
          <w:rFonts w:ascii="Arial" w:hAnsi="Arial" w:cs="Arial"/>
          <w:sz w:val="22"/>
          <w:szCs w:val="22"/>
        </w:rPr>
        <w:t>(e</w:t>
      </w:r>
      <w:r w:rsidR="00200206">
        <w:rPr>
          <w:rFonts w:ascii="Arial" w:hAnsi="Arial" w:cs="Arial"/>
          <w:sz w:val="22"/>
          <w:szCs w:val="22"/>
        </w:rPr>
        <w:t>.</w:t>
      </w:r>
      <w:r w:rsidRPr="00DA1736">
        <w:rPr>
          <w:rFonts w:ascii="Arial" w:hAnsi="Arial" w:cs="Arial"/>
          <w:sz w:val="22"/>
          <w:szCs w:val="22"/>
        </w:rPr>
        <w:t>g</w:t>
      </w:r>
      <w:r w:rsidR="00200206">
        <w:rPr>
          <w:rFonts w:ascii="Arial" w:hAnsi="Arial" w:cs="Arial"/>
          <w:sz w:val="22"/>
          <w:szCs w:val="22"/>
        </w:rPr>
        <w:t>.</w:t>
      </w:r>
      <w:r w:rsidRPr="00DA1736">
        <w:rPr>
          <w:rFonts w:ascii="Arial" w:hAnsi="Arial" w:cs="Arial"/>
          <w:sz w:val="22"/>
          <w:szCs w:val="22"/>
        </w:rPr>
        <w:t xml:space="preserve"> Committee Chairs; Policy Unit; </w:t>
      </w:r>
      <w:r w:rsidR="00200206" w:rsidRPr="00DA1736">
        <w:rPr>
          <w:rFonts w:ascii="Arial" w:hAnsi="Arial" w:cs="Arial"/>
          <w:sz w:val="22"/>
          <w:szCs w:val="22"/>
        </w:rPr>
        <w:t xml:space="preserve">the MQ Compliance </w:t>
      </w:r>
      <w:r w:rsidR="00200206">
        <w:rPr>
          <w:rFonts w:ascii="Arial" w:hAnsi="Arial" w:cs="Arial"/>
          <w:sz w:val="22"/>
          <w:szCs w:val="22"/>
        </w:rPr>
        <w:t>Coordinator;</w:t>
      </w:r>
      <w:r w:rsidR="00200206" w:rsidRPr="00DA1736">
        <w:rPr>
          <w:rFonts w:ascii="Arial" w:hAnsi="Arial" w:cs="Arial"/>
          <w:sz w:val="22"/>
          <w:szCs w:val="22"/>
        </w:rPr>
        <w:t xml:space="preserve"> </w:t>
      </w:r>
      <w:r w:rsidR="00200206">
        <w:rPr>
          <w:rFonts w:ascii="Arial" w:hAnsi="Arial" w:cs="Arial"/>
          <w:sz w:val="22"/>
          <w:szCs w:val="22"/>
        </w:rPr>
        <w:t>etc.</w:t>
      </w:r>
      <w:r w:rsidRPr="00DA1736">
        <w:rPr>
          <w:rFonts w:ascii="Arial" w:hAnsi="Arial" w:cs="Arial"/>
          <w:sz w:val="22"/>
          <w:szCs w:val="22"/>
        </w:rPr>
        <w:t xml:space="preserve">).  [Refer to </w:t>
      </w:r>
      <w:r w:rsidRPr="00DA1736">
        <w:rPr>
          <w:rFonts w:ascii="Arial" w:hAnsi="Arial" w:cs="Arial"/>
          <w:i/>
          <w:sz w:val="22"/>
          <w:szCs w:val="22"/>
        </w:rPr>
        <w:t>Policy Cycle Stage 1 Tip Sheet</w:t>
      </w:r>
      <w:r w:rsidRPr="00DA1736">
        <w:rPr>
          <w:rFonts w:ascii="Arial" w:hAnsi="Arial" w:cs="Arial"/>
          <w:sz w:val="22"/>
          <w:szCs w:val="22"/>
        </w:rPr>
        <w:t>]</w:t>
      </w:r>
      <w:r w:rsidR="00200206">
        <w:rPr>
          <w:rFonts w:ascii="Arial" w:hAnsi="Arial" w:cs="Arial"/>
          <w:sz w:val="22"/>
          <w:szCs w:val="22"/>
        </w:rPr>
        <w:t xml:space="preserve"> 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D18CE" w:rsidRDefault="001D18CE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D18CE" w:rsidRDefault="001D18CE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D18CE" w:rsidRPr="00DA1736" w:rsidRDefault="001D18CE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200206" w:rsidRPr="00DA1736" w:rsidRDefault="00200206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C7942" w:rsidRDefault="001C7942" w:rsidP="001C7942">
      <w:pPr>
        <w:rPr>
          <w:rFonts w:ascii="Arial" w:hAnsi="Arial" w:cs="Arial"/>
          <w:i/>
          <w:sz w:val="22"/>
          <w:szCs w:val="22"/>
        </w:rPr>
      </w:pPr>
    </w:p>
    <w:p w:rsidR="00444C0C" w:rsidRPr="00DA1736" w:rsidRDefault="00444C0C" w:rsidP="001C7942">
      <w:pPr>
        <w:rPr>
          <w:rFonts w:ascii="Arial" w:hAnsi="Arial" w:cs="Arial"/>
          <w:i/>
          <w:sz w:val="22"/>
          <w:szCs w:val="22"/>
        </w:rPr>
      </w:pPr>
    </w:p>
    <w:p w:rsidR="001C7942" w:rsidRPr="004E5DA5" w:rsidRDefault="001C7942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E5DA5">
        <w:rPr>
          <w:rFonts w:ascii="Arial" w:hAnsi="Arial" w:cs="Arial"/>
          <w:b/>
          <w:sz w:val="22"/>
          <w:szCs w:val="22"/>
        </w:rPr>
        <w:lastRenderedPageBreak/>
        <w:t xml:space="preserve">Using the </w:t>
      </w:r>
      <w:r w:rsidR="004E5DA5" w:rsidRPr="004E5DA5">
        <w:rPr>
          <w:rFonts w:ascii="Arial" w:hAnsi="Arial" w:cs="Arial"/>
          <w:b/>
          <w:i/>
          <w:sz w:val="22"/>
          <w:szCs w:val="22"/>
        </w:rPr>
        <w:t>Risk Rating Table</w:t>
      </w:r>
      <w:r w:rsidR="004E5DA5" w:rsidRPr="004E5DA5">
        <w:rPr>
          <w:rFonts w:ascii="Arial" w:hAnsi="Arial" w:cs="Arial"/>
          <w:b/>
          <w:sz w:val="22"/>
          <w:szCs w:val="22"/>
        </w:rPr>
        <w:t xml:space="preserve"> </w:t>
      </w:r>
      <w:r w:rsidRPr="004E5DA5">
        <w:rPr>
          <w:rFonts w:ascii="Arial" w:hAnsi="Arial" w:cs="Arial"/>
          <w:b/>
          <w:sz w:val="22"/>
          <w:szCs w:val="22"/>
        </w:rPr>
        <w:t xml:space="preserve">(Attachment 2), indicate the potential risk of not having this policy document </w:t>
      </w:r>
      <w:r w:rsidR="00A41D96" w:rsidRPr="004E5DA5">
        <w:rPr>
          <w:rFonts w:ascii="Arial" w:hAnsi="Arial" w:cs="Arial"/>
          <w:b/>
          <w:sz w:val="22"/>
          <w:szCs w:val="22"/>
        </w:rPr>
        <w:t>or</w:t>
      </w:r>
      <w:r w:rsidRPr="004E5DA5">
        <w:rPr>
          <w:rFonts w:ascii="Arial" w:hAnsi="Arial" w:cs="Arial"/>
          <w:b/>
          <w:sz w:val="22"/>
          <w:szCs w:val="22"/>
        </w:rPr>
        <w:t xml:space="preserve"> not undertaking the amendments.  </w:t>
      </w:r>
    </w:p>
    <w:p w:rsidR="001C7942" w:rsidRPr="00131039" w:rsidRDefault="001C7942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highlight w:val="yellow"/>
        </w:rPr>
      </w:pPr>
    </w:p>
    <w:p w:rsidR="001C7942" w:rsidRPr="004E5DA5" w:rsidRDefault="001C7942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9000"/>
        </w:tabs>
        <w:rPr>
          <w:rFonts w:ascii="Arial" w:hAnsi="Arial" w:cs="Arial"/>
          <w:sz w:val="22"/>
          <w:szCs w:val="22"/>
        </w:rPr>
      </w:pPr>
      <w:r w:rsidRPr="004E5DA5">
        <w:rPr>
          <w:rFonts w:ascii="Arial" w:hAnsi="Arial" w:cs="Arial"/>
          <w:b/>
          <w:sz w:val="22"/>
          <w:szCs w:val="22"/>
        </w:rPr>
        <w:t xml:space="preserve">Rating: </w:t>
      </w:r>
      <w:r w:rsidRPr="004E5DA5">
        <w:rPr>
          <w:rFonts w:ascii="Arial" w:hAnsi="Arial" w:cs="Arial"/>
          <w:sz w:val="22"/>
          <w:szCs w:val="22"/>
        </w:rPr>
        <w:t xml:space="preserve">     Insignificant / Minor / Medium / Major / Severe </w:t>
      </w:r>
    </w:p>
    <w:p w:rsidR="004E5DA5" w:rsidRDefault="004E5DA5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9000"/>
        </w:tabs>
        <w:rPr>
          <w:rFonts w:ascii="Arial" w:hAnsi="Arial" w:cs="Arial"/>
          <w:i/>
          <w:sz w:val="22"/>
          <w:szCs w:val="22"/>
          <w:highlight w:val="yellow"/>
        </w:rPr>
      </w:pPr>
    </w:p>
    <w:p w:rsidR="001C7942" w:rsidRPr="00DA1736" w:rsidRDefault="001C7942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9000"/>
        </w:tabs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>Add other relevant information</w:t>
      </w:r>
      <w:r w:rsidR="004E5DA5">
        <w:rPr>
          <w:rFonts w:ascii="Arial" w:hAnsi="Arial" w:cs="Arial"/>
          <w:sz w:val="22"/>
          <w:szCs w:val="22"/>
        </w:rPr>
        <w:t xml:space="preserve"> on the nature of the risk</w:t>
      </w:r>
      <w:r w:rsidRPr="00DA1736">
        <w:rPr>
          <w:rFonts w:ascii="Arial" w:hAnsi="Arial" w:cs="Arial"/>
          <w:sz w:val="22"/>
          <w:szCs w:val="22"/>
        </w:rPr>
        <w:t>:</w:t>
      </w:r>
    </w:p>
    <w:p w:rsidR="001C7942" w:rsidRDefault="001C7942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E5DA5" w:rsidRPr="00DA1736" w:rsidRDefault="004E5DA5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Pr="00DA1736" w:rsidRDefault="001C7942" w:rsidP="001D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 xml:space="preserve">[Refer to </w:t>
      </w:r>
      <w:r w:rsidRPr="00DA1736">
        <w:rPr>
          <w:rFonts w:ascii="Arial" w:hAnsi="Arial" w:cs="Arial"/>
          <w:i/>
          <w:sz w:val="22"/>
          <w:szCs w:val="22"/>
        </w:rPr>
        <w:t>Policy Cycle Tips Stage 1</w:t>
      </w:r>
      <w:r w:rsidRPr="00DA1736">
        <w:rPr>
          <w:rFonts w:ascii="Arial" w:hAnsi="Arial" w:cs="Arial"/>
          <w:sz w:val="22"/>
          <w:szCs w:val="22"/>
        </w:rPr>
        <w:t xml:space="preserve"> and </w:t>
      </w:r>
      <w:r w:rsidRPr="00DA1736">
        <w:rPr>
          <w:rFonts w:ascii="Arial" w:hAnsi="Arial" w:cs="Arial"/>
          <w:i/>
          <w:sz w:val="22"/>
          <w:szCs w:val="22"/>
        </w:rPr>
        <w:t>Stage 2</w:t>
      </w:r>
      <w:r w:rsidRPr="00DA1736">
        <w:rPr>
          <w:rFonts w:ascii="Arial" w:hAnsi="Arial" w:cs="Arial"/>
          <w:sz w:val="22"/>
          <w:szCs w:val="22"/>
        </w:rPr>
        <w:t xml:space="preserve"> to complete this section]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t>Recommended Implementation Officer: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C7942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E5DA5" w:rsidRPr="00DA1736" w:rsidRDefault="004E5DA5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t>Recommended Policy Writer</w:t>
      </w:r>
      <w:r w:rsidRPr="00DA1736">
        <w:rPr>
          <w:rFonts w:ascii="Arial" w:hAnsi="Arial" w:cs="Arial"/>
          <w:sz w:val="22"/>
          <w:szCs w:val="22"/>
        </w:rPr>
        <w:t>: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E5DA5" w:rsidRPr="00DA1736" w:rsidRDefault="004E5DA5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t>Recommended Policy Project Team: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t>Submitted by: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 xml:space="preserve">Proposer Name: 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 xml:space="preserve">Position:  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AU"/>
        </w:rPr>
      </w:pPr>
      <w:r w:rsidRPr="00DA1736">
        <w:rPr>
          <w:rFonts w:ascii="Arial" w:hAnsi="Arial" w:cs="Arial"/>
          <w:sz w:val="22"/>
          <w:szCs w:val="22"/>
        </w:rPr>
        <w:t>Ext / Email:</w:t>
      </w:r>
    </w:p>
    <w:p w:rsidR="001C7942" w:rsidRPr="00DA1736" w:rsidRDefault="001C7942" w:rsidP="001C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b/>
          <w:sz w:val="22"/>
          <w:szCs w:val="22"/>
        </w:rPr>
      </w:pPr>
    </w:p>
    <w:p w:rsidR="001C7942" w:rsidRDefault="001C7942" w:rsidP="001C7942">
      <w:pPr>
        <w:rPr>
          <w:rFonts w:ascii="Arial" w:hAnsi="Arial" w:cs="Arial"/>
          <w:b/>
          <w:sz w:val="22"/>
          <w:szCs w:val="22"/>
        </w:rPr>
      </w:pPr>
    </w:p>
    <w:p w:rsidR="004E5DA5" w:rsidRPr="004E5DA5" w:rsidRDefault="004E5DA5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b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t xml:space="preserve">Approval to proceed: </w:t>
      </w: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ind w:hanging="22"/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>Approval Authority</w:t>
      </w:r>
      <w:proofErr w:type="gramStart"/>
      <w:r w:rsidRPr="00DA1736">
        <w:rPr>
          <w:rFonts w:ascii="Arial" w:hAnsi="Arial" w:cs="Arial"/>
          <w:sz w:val="22"/>
          <w:szCs w:val="22"/>
        </w:rPr>
        <w:t>*  _</w:t>
      </w:r>
      <w:proofErr w:type="gramEnd"/>
      <w:r w:rsidRPr="00DA1736">
        <w:rPr>
          <w:rFonts w:ascii="Arial" w:hAnsi="Arial" w:cs="Arial"/>
          <w:sz w:val="22"/>
          <w:szCs w:val="22"/>
        </w:rPr>
        <w:t>___________________   ____________________   __________</w:t>
      </w: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 xml:space="preserve">                                          Name </w:t>
      </w:r>
      <w:r w:rsidRPr="00DA1736">
        <w:rPr>
          <w:rFonts w:ascii="Arial" w:hAnsi="Arial" w:cs="Arial"/>
          <w:sz w:val="22"/>
          <w:szCs w:val="22"/>
        </w:rPr>
        <w:tab/>
        <w:t xml:space="preserve">        </w:t>
      </w:r>
      <w:r w:rsidRPr="00DA1736">
        <w:rPr>
          <w:rFonts w:ascii="Arial" w:hAnsi="Arial" w:cs="Arial"/>
          <w:sz w:val="22"/>
          <w:szCs w:val="22"/>
        </w:rPr>
        <w:tab/>
      </w:r>
      <w:r w:rsidRPr="00DA1736">
        <w:rPr>
          <w:rFonts w:ascii="Arial" w:hAnsi="Arial" w:cs="Arial"/>
          <w:sz w:val="22"/>
          <w:szCs w:val="22"/>
        </w:rPr>
        <w:tab/>
      </w:r>
      <w:r w:rsidRPr="00DA1736">
        <w:rPr>
          <w:rFonts w:ascii="Arial" w:hAnsi="Arial" w:cs="Arial"/>
          <w:sz w:val="22"/>
          <w:szCs w:val="22"/>
        </w:rPr>
        <w:tab/>
        <w:t xml:space="preserve">  Position</w:t>
      </w:r>
      <w:r w:rsidRPr="00DA1736">
        <w:rPr>
          <w:rFonts w:ascii="Arial" w:hAnsi="Arial" w:cs="Arial"/>
          <w:sz w:val="22"/>
          <w:szCs w:val="22"/>
        </w:rPr>
        <w:tab/>
      </w:r>
      <w:r w:rsidRPr="00DA1736">
        <w:rPr>
          <w:rFonts w:ascii="Arial" w:hAnsi="Arial" w:cs="Arial"/>
          <w:sz w:val="22"/>
          <w:szCs w:val="22"/>
        </w:rPr>
        <w:tab/>
        <w:t xml:space="preserve">          Date</w:t>
      </w: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1D18CE" w:rsidRDefault="001C7942" w:rsidP="001C7942">
      <w:pPr>
        <w:ind w:left="142" w:hanging="142"/>
        <w:rPr>
          <w:rFonts w:ascii="Arial" w:hAnsi="Arial" w:cs="Arial"/>
          <w:sz w:val="18"/>
          <w:szCs w:val="18"/>
        </w:rPr>
      </w:pPr>
      <w:r w:rsidRPr="001D18CE">
        <w:rPr>
          <w:rFonts w:ascii="Arial" w:hAnsi="Arial" w:cs="Arial"/>
          <w:sz w:val="18"/>
          <w:szCs w:val="18"/>
        </w:rPr>
        <w:t>* The Approval Authority/</w:t>
      </w:r>
      <w:proofErr w:type="spellStart"/>
      <w:r w:rsidRPr="001D18CE">
        <w:rPr>
          <w:rFonts w:ascii="Arial" w:hAnsi="Arial" w:cs="Arial"/>
          <w:sz w:val="18"/>
          <w:szCs w:val="18"/>
        </w:rPr>
        <w:t>ies</w:t>
      </w:r>
      <w:proofErr w:type="spellEnd"/>
      <w:r w:rsidRPr="001D18CE">
        <w:rPr>
          <w:rFonts w:ascii="Arial" w:hAnsi="Arial" w:cs="Arial"/>
          <w:sz w:val="18"/>
          <w:szCs w:val="18"/>
        </w:rPr>
        <w:t xml:space="preserve"> refers to the position/s authorised in the </w:t>
      </w:r>
      <w:hyperlink r:id="rId10" w:history="1">
        <w:r w:rsidRPr="001D18CE">
          <w:rPr>
            <w:rStyle w:val="Hyperlink"/>
            <w:rFonts w:ascii="Arial" w:hAnsi="Arial" w:cs="Arial"/>
            <w:sz w:val="18"/>
            <w:szCs w:val="18"/>
          </w:rPr>
          <w:t>Delegations of Authority Register</w:t>
        </w:r>
      </w:hyperlink>
      <w:r w:rsidRPr="001D18CE">
        <w:rPr>
          <w:rFonts w:ascii="Arial" w:hAnsi="Arial" w:cs="Arial"/>
          <w:sz w:val="18"/>
          <w:szCs w:val="18"/>
        </w:rPr>
        <w:t xml:space="preserve"> to approve Policy Documents in a particular functional area.  Where the application of a Policy Document has a significant impact on more than one functional area, co-approvers may be required.  If unsure of the appropriate Approval Authority/</w:t>
      </w:r>
      <w:proofErr w:type="spellStart"/>
      <w:r w:rsidRPr="001D18CE">
        <w:rPr>
          <w:rFonts w:ascii="Arial" w:hAnsi="Arial" w:cs="Arial"/>
          <w:sz w:val="18"/>
          <w:szCs w:val="18"/>
        </w:rPr>
        <w:t>ies</w:t>
      </w:r>
      <w:proofErr w:type="spellEnd"/>
      <w:r w:rsidRPr="001D18CE">
        <w:rPr>
          <w:rFonts w:ascii="Arial" w:hAnsi="Arial" w:cs="Arial"/>
          <w:sz w:val="18"/>
          <w:szCs w:val="18"/>
        </w:rPr>
        <w:t xml:space="preserve">, please contact the </w:t>
      </w:r>
      <w:hyperlink r:id="rId11" w:history="1">
        <w:r w:rsidRPr="001D18CE">
          <w:rPr>
            <w:rStyle w:val="Hyperlink"/>
            <w:rFonts w:ascii="Arial" w:hAnsi="Arial" w:cs="Arial"/>
            <w:sz w:val="18"/>
            <w:szCs w:val="18"/>
          </w:rPr>
          <w:t>Policy Unit</w:t>
        </w:r>
      </w:hyperlink>
      <w:r w:rsidRPr="001D18CE">
        <w:rPr>
          <w:rFonts w:ascii="Arial" w:hAnsi="Arial" w:cs="Arial"/>
          <w:sz w:val="18"/>
          <w:szCs w:val="18"/>
        </w:rPr>
        <w:t>.</w:t>
      </w: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  <w:r w:rsidRPr="00DA1736">
        <w:rPr>
          <w:rFonts w:ascii="Arial" w:hAnsi="Arial" w:cs="Arial"/>
          <w:sz w:val="22"/>
          <w:szCs w:val="22"/>
        </w:rPr>
        <w:t xml:space="preserve">Return to the Proposer Named above with a copy to </w:t>
      </w:r>
      <w:hyperlink r:id="rId12" w:history="1">
        <w:r w:rsidRPr="00DA1736">
          <w:rPr>
            <w:rStyle w:val="Hyperlink"/>
            <w:rFonts w:ascii="Arial" w:hAnsi="Arial" w:cs="Arial"/>
            <w:sz w:val="22"/>
            <w:szCs w:val="22"/>
          </w:rPr>
          <w:t>Policy Unit</w:t>
        </w:r>
      </w:hyperlink>
    </w:p>
    <w:p w:rsidR="001C7942" w:rsidRPr="00DA1736" w:rsidRDefault="001C7942" w:rsidP="001C7942">
      <w:pPr>
        <w:rPr>
          <w:rFonts w:ascii="Arial" w:hAnsi="Arial" w:cs="Arial"/>
          <w:b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br w:type="page"/>
      </w:r>
    </w:p>
    <w:p w:rsidR="001C7942" w:rsidRPr="00DA1736" w:rsidRDefault="001C7942" w:rsidP="001C7942">
      <w:pPr>
        <w:tabs>
          <w:tab w:val="center" w:pos="9000"/>
        </w:tabs>
        <w:spacing w:after="120"/>
        <w:rPr>
          <w:rFonts w:ascii="Arial" w:hAnsi="Arial" w:cs="Arial"/>
          <w:b/>
          <w:sz w:val="22"/>
          <w:szCs w:val="22"/>
        </w:rPr>
      </w:pPr>
      <w:r w:rsidRPr="00DA1736">
        <w:rPr>
          <w:rFonts w:ascii="Arial" w:hAnsi="Arial" w:cs="Arial"/>
          <w:b/>
          <w:sz w:val="22"/>
          <w:szCs w:val="22"/>
        </w:rPr>
        <w:lastRenderedPageBreak/>
        <w:t xml:space="preserve">ATTACHMENT 1:  WHEN IS A POLICY DOCUMENT REQUIRED? </w:t>
      </w:r>
    </w:p>
    <w:p w:rsidR="001C7942" w:rsidRPr="00424FF8" w:rsidRDefault="00424FF8" w:rsidP="00424FF8">
      <w:pPr>
        <w:rPr>
          <w:rFonts w:eastAsiaTheme="minorHAnsi"/>
          <w:sz w:val="22"/>
          <w:szCs w:val="22"/>
          <w:lang w:val="en-AU"/>
        </w:rPr>
      </w:pPr>
      <w:r w:rsidRPr="00424FF8">
        <w:rPr>
          <w:rFonts w:ascii="Arial" w:hAnsi="Arial" w:cs="Arial"/>
          <w:sz w:val="22"/>
          <w:szCs w:val="22"/>
          <w:lang w:eastAsia="en-AU"/>
        </w:rPr>
        <w:t xml:space="preserve">University policy documents express principles, intent, values, and expectations to assist or direct decision-making and operations in the University.  </w:t>
      </w:r>
      <w:r w:rsidR="001C7942" w:rsidRPr="00424FF8">
        <w:rPr>
          <w:rFonts w:ascii="Arial" w:hAnsi="Arial" w:cs="Arial"/>
          <w:sz w:val="22"/>
          <w:szCs w:val="22"/>
        </w:rPr>
        <w:t xml:space="preserve">They provide a connection between organisational strategy and frameworks, external legislation and standards, and day-to-day operations, to indicate how specific activity is expected to be undertaken.  </w:t>
      </w:r>
    </w:p>
    <w:p w:rsidR="00424FF8" w:rsidRDefault="00424FF8" w:rsidP="00E36BF9">
      <w:pPr>
        <w:rPr>
          <w:rFonts w:ascii="Arial" w:hAnsi="Arial" w:cs="Arial"/>
          <w:sz w:val="22"/>
          <w:szCs w:val="22"/>
        </w:rPr>
      </w:pPr>
    </w:p>
    <w:p w:rsidR="001C7942" w:rsidRPr="00424FF8" w:rsidRDefault="001C7942" w:rsidP="00E36BF9">
      <w:pPr>
        <w:rPr>
          <w:rFonts w:ascii="Arial" w:hAnsi="Arial" w:cs="Arial"/>
          <w:sz w:val="22"/>
          <w:szCs w:val="22"/>
        </w:rPr>
      </w:pPr>
      <w:r w:rsidRPr="00424FF8">
        <w:rPr>
          <w:rFonts w:ascii="Arial" w:hAnsi="Arial" w:cs="Arial"/>
          <w:sz w:val="22"/>
          <w:szCs w:val="22"/>
        </w:rPr>
        <w:t xml:space="preserve">Policy documents include policies, codes, schedules, procedures, and associated instructions and workflows.  A policy document will be required when: </w:t>
      </w:r>
    </w:p>
    <w:p w:rsidR="001C7942" w:rsidRPr="00DA1736" w:rsidRDefault="001C7942" w:rsidP="001C7942">
      <w:pPr>
        <w:rPr>
          <w:rFonts w:ascii="Arial" w:hAnsi="Arial" w:cs="Arial"/>
          <w:sz w:val="22"/>
          <w:szCs w:val="22"/>
        </w:rPr>
      </w:pPr>
    </w:p>
    <w:p w:rsidR="001C7942" w:rsidRPr="00DA1736" w:rsidRDefault="001C7942" w:rsidP="001C7942">
      <w:pPr>
        <w:pStyle w:val="ListParagraph"/>
        <w:numPr>
          <w:ilvl w:val="0"/>
          <w:numId w:val="5"/>
        </w:numPr>
        <w:suppressAutoHyphens w:val="0"/>
        <w:spacing w:after="200"/>
        <w:ind w:left="426" w:hanging="284"/>
        <w:rPr>
          <w:rFonts w:ascii="Arial" w:hAnsi="Arial" w:cs="Arial"/>
          <w:szCs w:val="22"/>
        </w:rPr>
      </w:pPr>
      <w:r w:rsidRPr="00DA1736">
        <w:rPr>
          <w:rFonts w:ascii="Arial" w:hAnsi="Arial" w:cs="Arial"/>
          <w:b/>
          <w:szCs w:val="22"/>
        </w:rPr>
        <w:t xml:space="preserve">legislation </w:t>
      </w:r>
      <w:r w:rsidRPr="00DA1736">
        <w:rPr>
          <w:rFonts w:ascii="Arial" w:hAnsi="Arial" w:cs="Arial"/>
          <w:b/>
          <w:szCs w:val="22"/>
          <w:vertAlign w:val="superscript"/>
        </w:rPr>
        <w:t>(1)</w:t>
      </w:r>
      <w:r w:rsidRPr="00DA1736">
        <w:rPr>
          <w:rFonts w:ascii="Arial" w:hAnsi="Arial" w:cs="Arial"/>
          <w:b/>
          <w:szCs w:val="22"/>
        </w:rPr>
        <w:t xml:space="preserve"> dictates that the University must have a policy and directs the specific stance that the University must adopt in relation to the matter/s. </w:t>
      </w:r>
    </w:p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</w:p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  <w:r w:rsidRPr="00DA1736">
        <w:rPr>
          <w:rFonts w:ascii="Arial" w:hAnsi="Arial" w:cs="Arial"/>
          <w:szCs w:val="22"/>
        </w:rPr>
        <w:t xml:space="preserve">Example: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905"/>
        <w:gridCol w:w="2645"/>
        <w:gridCol w:w="4511"/>
      </w:tblGrid>
      <w:tr w:rsidR="001C7942" w:rsidRPr="00DA1736" w:rsidTr="00231CCF">
        <w:tc>
          <w:tcPr>
            <w:tcW w:w="1907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>Legislation</w:t>
            </w:r>
          </w:p>
        </w:tc>
        <w:tc>
          <w:tcPr>
            <w:tcW w:w="2650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>Required policies</w:t>
            </w:r>
          </w:p>
        </w:tc>
        <w:tc>
          <w:tcPr>
            <w:tcW w:w="4515" w:type="dxa"/>
          </w:tcPr>
          <w:p w:rsidR="001C7942" w:rsidRPr="00DA1736" w:rsidRDefault="001C7942" w:rsidP="00231CCF">
            <w:pPr>
              <w:pStyle w:val="ListParagraph"/>
              <w:ind w:left="13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>Specific provisions that must be included</w:t>
            </w:r>
          </w:p>
        </w:tc>
      </w:tr>
      <w:tr w:rsidR="001C7942" w:rsidRPr="00DA1736" w:rsidTr="00231CCF">
        <w:tc>
          <w:tcPr>
            <w:tcW w:w="1907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Public Interest Disclosures Act 1994 </w:t>
            </w:r>
            <w:r w:rsidR="00A41D96">
              <w:rPr>
                <w:rFonts w:ascii="Arial" w:hAnsi="Arial" w:cs="Arial"/>
                <w:szCs w:val="22"/>
              </w:rPr>
              <w:t>(NSW)</w:t>
            </w:r>
          </w:p>
        </w:tc>
        <w:tc>
          <w:tcPr>
            <w:tcW w:w="2650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Public authorities must have “an internal reporting policy and procedures in place for receiving, assessing and dealing with public interest disclosures.” </w:t>
            </w:r>
          </w:p>
        </w:tc>
        <w:tc>
          <w:tcPr>
            <w:tcW w:w="4515" w:type="dxa"/>
          </w:tcPr>
          <w:p w:rsidR="001C7942" w:rsidRPr="00DA1736" w:rsidRDefault="001C7942" w:rsidP="00231CCF">
            <w:pPr>
              <w:pStyle w:val="ListParagraph"/>
              <w:ind w:left="13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>“This policy must have regard to the NSW Ombudsman’s model policy and guidelines</w:t>
            </w:r>
            <w:r w:rsidRPr="00DA1736">
              <w:rPr>
                <w:rFonts w:ascii="Arial" w:hAnsi="Arial" w:cs="Arial"/>
                <w:b/>
                <w:bCs/>
                <w:szCs w:val="22"/>
              </w:rPr>
              <w:t xml:space="preserve">.” </w:t>
            </w:r>
            <w:r w:rsidRPr="00DA1736">
              <w:rPr>
                <w:rFonts w:ascii="Arial" w:hAnsi="Arial" w:cs="Arial"/>
                <w:bCs/>
                <w:szCs w:val="22"/>
              </w:rPr>
              <w:t xml:space="preserve">https://www.ombo.nsw.gov.au/what-we-do/our-work/public-interest-disclosures/information-for-agencies </w:t>
            </w:r>
          </w:p>
        </w:tc>
      </w:tr>
    </w:tbl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</w:p>
    <w:p w:rsidR="001C7942" w:rsidRPr="00DA1736" w:rsidRDefault="001C7942" w:rsidP="00E36BF9">
      <w:pPr>
        <w:pStyle w:val="ListParagraph"/>
        <w:numPr>
          <w:ilvl w:val="0"/>
          <w:numId w:val="5"/>
        </w:numPr>
        <w:suppressAutoHyphens w:val="0"/>
        <w:spacing w:after="120"/>
        <w:ind w:left="426" w:hanging="284"/>
        <w:contextualSpacing w:val="0"/>
        <w:rPr>
          <w:rFonts w:ascii="Arial" w:hAnsi="Arial" w:cs="Arial"/>
          <w:b/>
          <w:szCs w:val="22"/>
        </w:rPr>
      </w:pPr>
      <w:r w:rsidRPr="00DA1736">
        <w:rPr>
          <w:rFonts w:ascii="Arial" w:hAnsi="Arial" w:cs="Arial"/>
          <w:b/>
          <w:szCs w:val="22"/>
        </w:rPr>
        <w:t xml:space="preserve">legislation </w:t>
      </w:r>
      <w:r w:rsidRPr="00DA1736">
        <w:rPr>
          <w:rFonts w:ascii="Arial" w:hAnsi="Arial" w:cs="Arial"/>
          <w:b/>
          <w:szCs w:val="22"/>
          <w:vertAlign w:val="superscript"/>
        </w:rPr>
        <w:t>(1)</w:t>
      </w:r>
      <w:r w:rsidRPr="00DA1736">
        <w:rPr>
          <w:rFonts w:ascii="Arial" w:hAnsi="Arial" w:cs="Arial"/>
          <w:b/>
          <w:szCs w:val="22"/>
        </w:rPr>
        <w:t xml:space="preserve"> dictates that the University must respond to a particular matter but leaves open the manner in which it is enacted/implemented. The University determines that it is appropriate to acknowledge the legislation by framing the University’s approach. </w:t>
      </w:r>
    </w:p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  <w:r w:rsidRPr="00DA1736">
        <w:rPr>
          <w:rFonts w:ascii="Arial" w:hAnsi="Arial" w:cs="Arial"/>
          <w:szCs w:val="22"/>
        </w:rPr>
        <w:t xml:space="preserve">Example: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3"/>
        <w:gridCol w:w="6228"/>
      </w:tblGrid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>Legislation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3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 xml:space="preserve">Examples of University response </w:t>
            </w:r>
          </w:p>
        </w:tc>
      </w:tr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Child Protection (Working with Children) Act </w:t>
            </w:r>
            <w:r w:rsidR="00A41D96">
              <w:rPr>
                <w:rFonts w:ascii="Arial" w:hAnsi="Arial" w:cs="Arial"/>
                <w:szCs w:val="22"/>
              </w:rPr>
              <w:t>(</w:t>
            </w:r>
            <w:r w:rsidRPr="00DA1736">
              <w:rPr>
                <w:rFonts w:ascii="Arial" w:hAnsi="Arial" w:cs="Arial"/>
                <w:szCs w:val="22"/>
              </w:rPr>
              <w:t>NSW</w:t>
            </w:r>
            <w:r w:rsidR="00A41D96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Children at Macquarie Policy and </w:t>
            </w:r>
            <w:hyperlink r:id="rId13" w:history="1">
              <w:r w:rsidRPr="00DA1736">
                <w:rPr>
                  <w:rFonts w:ascii="Arial" w:hAnsi="Arial" w:cs="Arial"/>
                  <w:szCs w:val="22"/>
                </w:rPr>
                <w:t>Procedure</w:t>
              </w:r>
            </w:hyperlink>
            <w:r w:rsidRPr="00DA1736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>Australian Qualifications Framework (AQF) standards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Recognition of Prior Learning Policy </w:t>
            </w:r>
          </w:p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>Senate Statement on Postgraduate Curriculum</w:t>
            </w:r>
          </w:p>
        </w:tc>
      </w:tr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Poisons and Therapeutic Goods </w:t>
            </w:r>
            <w:hyperlink r:id="rId14" w:history="1">
              <w:r w:rsidRPr="00DA1736">
                <w:rPr>
                  <w:rFonts w:ascii="Arial" w:hAnsi="Arial" w:cs="Arial"/>
                  <w:szCs w:val="22"/>
                </w:rPr>
                <w:t>Act</w:t>
              </w:r>
            </w:hyperlink>
            <w:r w:rsidRPr="00DA1736">
              <w:rPr>
                <w:rFonts w:ascii="Arial" w:hAnsi="Arial" w:cs="Arial"/>
                <w:szCs w:val="22"/>
              </w:rPr>
              <w:t xml:space="preserve"> 1966 (NSW)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>Storage and Use of Drugs of Addiction used in Research Procedure</w:t>
            </w:r>
          </w:p>
        </w:tc>
      </w:tr>
    </w:tbl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</w:p>
    <w:p w:rsidR="001C7942" w:rsidRPr="00DA1736" w:rsidRDefault="001C7942" w:rsidP="00E36BF9">
      <w:pPr>
        <w:pStyle w:val="ListParagraph"/>
        <w:numPr>
          <w:ilvl w:val="0"/>
          <w:numId w:val="5"/>
        </w:numPr>
        <w:suppressAutoHyphens w:val="0"/>
        <w:spacing w:after="120"/>
        <w:ind w:left="426" w:hanging="284"/>
        <w:contextualSpacing w:val="0"/>
        <w:rPr>
          <w:rFonts w:ascii="Arial" w:hAnsi="Arial" w:cs="Arial"/>
          <w:b/>
          <w:szCs w:val="22"/>
        </w:rPr>
      </w:pPr>
      <w:r w:rsidRPr="00DA1736">
        <w:rPr>
          <w:rFonts w:ascii="Arial" w:hAnsi="Arial" w:cs="Arial"/>
          <w:b/>
          <w:szCs w:val="22"/>
        </w:rPr>
        <w:t xml:space="preserve">the University resolves to make a binding statement to </w:t>
      </w:r>
      <w:r w:rsidR="00A41D96">
        <w:rPr>
          <w:rFonts w:ascii="Arial" w:hAnsi="Arial" w:cs="Arial"/>
          <w:b/>
          <w:szCs w:val="22"/>
        </w:rPr>
        <w:t xml:space="preserve">assist or </w:t>
      </w:r>
      <w:r w:rsidRPr="00DA1736">
        <w:rPr>
          <w:rFonts w:ascii="Arial" w:hAnsi="Arial" w:cs="Arial"/>
          <w:b/>
          <w:szCs w:val="22"/>
        </w:rPr>
        <w:t xml:space="preserve">direct actions and behaviours.  </w:t>
      </w:r>
    </w:p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  <w:r w:rsidRPr="00DA1736">
        <w:rPr>
          <w:rFonts w:ascii="Arial" w:hAnsi="Arial" w:cs="Arial"/>
          <w:szCs w:val="22"/>
        </w:rPr>
        <w:t xml:space="preserve">Example: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3"/>
        <w:gridCol w:w="6228"/>
      </w:tblGrid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>Issue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b/>
                <w:szCs w:val="22"/>
              </w:rPr>
            </w:pPr>
            <w:r w:rsidRPr="00DA1736">
              <w:rPr>
                <w:rFonts w:ascii="Arial" w:hAnsi="Arial" w:cs="Arial"/>
                <w:b/>
                <w:szCs w:val="22"/>
              </w:rPr>
              <w:t>Examples of University response</w:t>
            </w:r>
          </w:p>
        </w:tc>
      </w:tr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>Conduct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76" w:hanging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Code of Conduct for Students </w:t>
            </w:r>
          </w:p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Academic </w:t>
            </w:r>
            <w:r w:rsidR="00E36BF9">
              <w:rPr>
                <w:rFonts w:ascii="Arial" w:hAnsi="Arial" w:cs="Arial"/>
                <w:szCs w:val="22"/>
              </w:rPr>
              <w:t>Integrity</w:t>
            </w:r>
            <w:r w:rsidR="00E36BF9" w:rsidRPr="00DA1736">
              <w:rPr>
                <w:rFonts w:ascii="Arial" w:hAnsi="Arial" w:cs="Arial"/>
                <w:szCs w:val="22"/>
              </w:rPr>
              <w:t xml:space="preserve"> </w:t>
            </w:r>
            <w:r w:rsidRPr="00DA1736">
              <w:rPr>
                <w:rFonts w:ascii="Arial" w:hAnsi="Arial" w:cs="Arial"/>
                <w:szCs w:val="22"/>
              </w:rPr>
              <w:t xml:space="preserve">Policy </w:t>
            </w:r>
          </w:p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Acceptable Use Policy </w:t>
            </w:r>
          </w:p>
        </w:tc>
      </w:tr>
      <w:tr w:rsidR="001C7942" w:rsidRPr="00DA1736" w:rsidTr="00231CCF">
        <w:tc>
          <w:tcPr>
            <w:tcW w:w="2835" w:type="dxa"/>
          </w:tcPr>
          <w:p w:rsidR="001C7942" w:rsidRPr="00DA1736" w:rsidRDefault="001C7942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>Environmental concerns</w:t>
            </w:r>
          </w:p>
        </w:tc>
        <w:tc>
          <w:tcPr>
            <w:tcW w:w="6237" w:type="dxa"/>
          </w:tcPr>
          <w:p w:rsidR="001C7942" w:rsidRPr="00DA1736" w:rsidRDefault="001C7942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 w:rsidRPr="00DA1736">
              <w:rPr>
                <w:rFonts w:ascii="Arial" w:hAnsi="Arial" w:cs="Arial"/>
                <w:szCs w:val="22"/>
              </w:rPr>
              <w:t xml:space="preserve">Sustainability Policy </w:t>
            </w:r>
          </w:p>
        </w:tc>
      </w:tr>
      <w:tr w:rsidR="00444C0C" w:rsidRPr="00DA1736" w:rsidTr="00231CCF">
        <w:tc>
          <w:tcPr>
            <w:tcW w:w="2835" w:type="dxa"/>
          </w:tcPr>
          <w:p w:rsidR="00444C0C" w:rsidRPr="00DA1736" w:rsidRDefault="00444C0C" w:rsidP="00231CC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Learning Outcomes</w:t>
            </w:r>
          </w:p>
        </w:tc>
        <w:tc>
          <w:tcPr>
            <w:tcW w:w="6237" w:type="dxa"/>
          </w:tcPr>
          <w:p w:rsidR="00444C0C" w:rsidRPr="00DA1736" w:rsidRDefault="00444C0C" w:rsidP="00231CCF">
            <w:pPr>
              <w:pStyle w:val="ListParagraph"/>
              <w:ind w:left="112" w:firstLine="1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Assessment Policy</w:t>
            </w:r>
          </w:p>
        </w:tc>
      </w:tr>
    </w:tbl>
    <w:p w:rsidR="001C7942" w:rsidRPr="00DA1736" w:rsidRDefault="001C7942" w:rsidP="001C7942">
      <w:pPr>
        <w:pStyle w:val="ListParagraph"/>
        <w:ind w:left="426"/>
        <w:rPr>
          <w:rFonts w:ascii="Arial" w:hAnsi="Arial" w:cs="Arial"/>
          <w:szCs w:val="22"/>
        </w:rPr>
      </w:pPr>
    </w:p>
    <w:p w:rsidR="001C7942" w:rsidRPr="001D18CE" w:rsidRDefault="001C7942" w:rsidP="001D18CE">
      <w:pPr>
        <w:pStyle w:val="ListParagraph"/>
        <w:numPr>
          <w:ilvl w:val="0"/>
          <w:numId w:val="6"/>
        </w:numPr>
        <w:suppressAutoHyphens w:val="0"/>
        <w:spacing w:after="120"/>
        <w:contextualSpacing w:val="0"/>
        <w:rPr>
          <w:rFonts w:ascii="Arial" w:hAnsi="Arial" w:cs="Arial"/>
          <w:szCs w:val="22"/>
        </w:rPr>
      </w:pPr>
      <w:r w:rsidRPr="00DA1736">
        <w:rPr>
          <w:rFonts w:ascii="Arial" w:hAnsi="Arial" w:cs="Arial"/>
          <w:szCs w:val="22"/>
        </w:rPr>
        <w:t xml:space="preserve">Legislation includes Acts, By-Laws, Regulations, determinations as well as Standards and Codes that are aligned with these. </w:t>
      </w:r>
      <w:r w:rsidRPr="001D18CE">
        <w:rPr>
          <w:rFonts w:ascii="Arial" w:hAnsi="Arial" w:cs="Arial"/>
          <w:szCs w:val="22"/>
        </w:rPr>
        <w:t xml:space="preserve"> </w:t>
      </w:r>
    </w:p>
    <w:p w:rsidR="001C7942" w:rsidRDefault="001C7942" w:rsidP="001C7942">
      <w:pPr>
        <w:tabs>
          <w:tab w:val="center" w:pos="9000"/>
        </w:tabs>
        <w:spacing w:after="120"/>
        <w:rPr>
          <w:rFonts w:cs="Arial"/>
          <w:b/>
          <w:sz w:val="22"/>
          <w:szCs w:val="22"/>
        </w:rPr>
        <w:sectPr w:rsidR="001C7942" w:rsidSect="00444C0C">
          <w:footerReference w:type="default" r:id="rId15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1C7942" w:rsidRDefault="001C7942" w:rsidP="001D18CE">
      <w:pPr>
        <w:tabs>
          <w:tab w:val="center" w:pos="9000"/>
        </w:tabs>
        <w:rPr>
          <w:rFonts w:cs="Arial"/>
          <w:sz w:val="16"/>
          <w:szCs w:val="16"/>
        </w:rPr>
      </w:pPr>
      <w:r>
        <w:rPr>
          <w:rFonts w:cs="Arial"/>
          <w:b/>
          <w:sz w:val="22"/>
          <w:szCs w:val="22"/>
        </w:rPr>
        <w:lastRenderedPageBreak/>
        <w:t xml:space="preserve">ATTACHMENT 2:  </w:t>
      </w:r>
      <w:r w:rsidR="00131039">
        <w:rPr>
          <w:rFonts w:cs="Arial"/>
          <w:b/>
          <w:sz w:val="22"/>
          <w:szCs w:val="22"/>
        </w:rPr>
        <w:t xml:space="preserve">RISK RATING </w:t>
      </w:r>
      <w:bookmarkStart w:id="0" w:name="_GoBack"/>
      <w:bookmarkEnd w:id="0"/>
      <w:r w:rsidR="007041AF" w:rsidRPr="007041AF">
        <w:rPr>
          <w:rFonts w:cs="Arial"/>
          <w:b/>
          <w:sz w:val="16"/>
          <w:szCs w:val="16"/>
        </w:rPr>
        <w:t>[</w:t>
      </w:r>
      <w:r w:rsidR="007041AF" w:rsidRPr="007041AF">
        <w:rPr>
          <w:rFonts w:cs="Arial"/>
          <w:sz w:val="16"/>
          <w:szCs w:val="16"/>
        </w:rPr>
        <w:t xml:space="preserve">Source: </w:t>
      </w:r>
      <w:r w:rsidR="00131039" w:rsidRPr="00131039">
        <w:rPr>
          <w:rFonts w:cs="Arial"/>
          <w:sz w:val="16"/>
          <w:szCs w:val="16"/>
        </w:rPr>
        <w:t>Risk Management Framework approved by the A</w:t>
      </w:r>
      <w:r w:rsidR="00131039">
        <w:rPr>
          <w:rFonts w:cs="Arial"/>
          <w:sz w:val="16"/>
          <w:szCs w:val="16"/>
        </w:rPr>
        <w:t xml:space="preserve">udit and Risk Committee </w:t>
      </w:r>
      <w:r w:rsidR="00131039" w:rsidRPr="00131039">
        <w:rPr>
          <w:rFonts w:cs="Arial"/>
          <w:sz w:val="16"/>
          <w:szCs w:val="16"/>
        </w:rPr>
        <w:t>21</w:t>
      </w:r>
      <w:r w:rsidR="00131039">
        <w:rPr>
          <w:rFonts w:cs="Arial"/>
          <w:sz w:val="16"/>
          <w:szCs w:val="16"/>
        </w:rPr>
        <w:t xml:space="preserve"> November 2017</w:t>
      </w:r>
      <w:r w:rsidR="007041AF" w:rsidRPr="007041AF">
        <w:rPr>
          <w:rFonts w:cs="Arial"/>
          <w:sz w:val="16"/>
          <w:szCs w:val="16"/>
        </w:rPr>
        <w:t>]</w:t>
      </w:r>
    </w:p>
    <w:p w:rsidR="00131039" w:rsidRDefault="00131039" w:rsidP="001D18CE">
      <w:pPr>
        <w:tabs>
          <w:tab w:val="center" w:pos="9000"/>
        </w:tabs>
        <w:rPr>
          <w:rFonts w:cs="Arial"/>
          <w:sz w:val="16"/>
          <w:szCs w:val="16"/>
        </w:rPr>
      </w:pPr>
    </w:p>
    <w:tbl>
      <w:tblPr>
        <w:tblW w:w="15713" w:type="dxa"/>
        <w:tblLook w:val="04A0" w:firstRow="1" w:lastRow="0" w:firstColumn="1" w:lastColumn="0" w:noHBand="0" w:noVBand="1"/>
      </w:tblPr>
      <w:tblGrid>
        <w:gridCol w:w="2694"/>
        <w:gridCol w:w="2039"/>
        <w:gridCol w:w="2409"/>
        <w:gridCol w:w="2902"/>
        <w:gridCol w:w="3142"/>
        <w:gridCol w:w="2527"/>
      </w:tblGrid>
      <w:tr w:rsidR="00DE5193" w:rsidRPr="00225E05" w:rsidTr="0035010B">
        <w:trPr>
          <w:trHeight w:val="249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AU"/>
              </w:rPr>
              <w:t>Risk Rating Table</w:t>
            </w:r>
          </w:p>
        </w:tc>
        <w:tc>
          <w:tcPr>
            <w:tcW w:w="130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Consequence</w:t>
            </w:r>
          </w:p>
        </w:tc>
      </w:tr>
      <w:tr w:rsidR="00DE5193" w:rsidRPr="00225E05" w:rsidTr="0035010B">
        <w:trPr>
          <w:trHeight w:val="31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Likelihood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Insignificant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Minor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Medium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Major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Severe</w:t>
            </w:r>
          </w:p>
        </w:tc>
      </w:tr>
      <w:tr w:rsidR="00DE5193" w:rsidRPr="00225E05" w:rsidTr="0035010B">
        <w:trPr>
          <w:trHeight w:val="5079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en-A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Student disaffected; Authority notes concern; Minor course development or introduced postponed; Technical non-compliance; Loss of &lt;10K Cost/loss able to consumed in the current budget; First aid incident; Minor reversible impact to low significance environmental location; Teaching facilities are unable to be occupied at the allocated time; Small no of users impacted by IT systems being temporarily unavailable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Authorities formally seek clarification; Student Groups register separate concerns; MQ student body media traffic;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Localised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social media traffic; Course development or introduced delayed; Regulator enquiry; Minor legal issues and, or breach of regulation; Financial loss of 50K -1M;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Hospitalisation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of person; Short term reversible impact on environment; Parts of a building within the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Uni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is unable to be occupied for &gt; 1mth during teaching semester; IT Systems do not operate efficiently eroding performance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Authorities </w:t>
            </w:r>
            <w:r w:rsidRPr="00443F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and</w:t>
            </w: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Government register strong concerns / threaten investigation; State based media; Social media traffic (mainly spurious); Multiple Student Groups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vocalise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concerns; Prominent Academic resigns; Loss of external accreditation of course;  Load sharing to support signature courses &amp; or research; Research projects not progressed; New courses not developed or introduced; Ability to seek new research opportunities are limited; Regulator issues warning; Fine &amp; legal costs or financial loss 1M to $15M; Serious personal injury / moderate irreversible disability /impairment; Significant localized impact to environment; One building within the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Uni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is unable to be occupied for &gt; 1mth during teaching semester; IT Systems do not operate efficiently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Targeted enquiry / investigation by Authorities /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Gov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;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Aust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Wide press interest; Short term adverse social media traffic; Widespread disaffected Student Community; Faculty Dean or DVC resign; Loss of standing within the Research Funding Community; Suspension of/conditional Provider Status; Partial closure of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Dept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; Suspension of viable/signature course; Material breach of Research grants / conditions; Limitations on research opportunities; Regulatory sanction resulting in suspension of license &amp; or conditions on accreditation; Fine &amp; legal costs or financial loss  $10 -50M; Single death &amp; disability; Long term damage to the environment; &gt;1 building within the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Uni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are unable to be occupied for &gt;1mth during teaching semester; Temporary loss of &gt;1 Faculty /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Dept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data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Total loss of confidence by Government/ Student Community/ Authorities/ Funding &amp; Research Bodies; International media; Wide-spread prolonged adverse social media; VC and Key Executives resign; Closure of a viable or signature course; Planned research activity and growth not viable; Regulatory sanction resulting in loss of license / accreditation; Fine and legal costs or financial loss exceeding $50M; Multiple death and disability; Permanent damage to the environment; </w:t>
            </w:r>
            <w:proofErr w:type="spellStart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Uni</w:t>
            </w:r>
            <w:proofErr w:type="spellEnd"/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grounds inaccessible for prolonged period (greater than 1mth during teaching semester); Wide scale loss of data</w:t>
            </w:r>
          </w:p>
        </w:tc>
      </w:tr>
      <w:tr w:rsidR="00DE5193" w:rsidRPr="00225E05" w:rsidTr="0035010B">
        <w:trPr>
          <w:trHeight w:val="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 Almost Certain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Very High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Very High</w:t>
            </w:r>
          </w:p>
        </w:tc>
      </w:tr>
      <w:tr w:rsidR="00DE5193" w:rsidRPr="00225E05" w:rsidTr="0035010B">
        <w:trPr>
          <w:trHeight w:val="43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Expected (+90% chance) to occur  in most circumstances;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</w:p>
        </w:tc>
      </w:tr>
      <w:tr w:rsidR="00DE5193" w:rsidRPr="00225E05" w:rsidTr="0035010B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 Likely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Very High</w:t>
            </w:r>
          </w:p>
        </w:tc>
      </w:tr>
      <w:tr w:rsidR="00DE5193" w:rsidRPr="00225E05" w:rsidTr="0035010B">
        <w:trPr>
          <w:trHeight w:val="40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Will probably occur (51 – 90% chance); More likely than not.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</w:p>
        </w:tc>
      </w:tr>
      <w:tr w:rsidR="00DE5193" w:rsidRPr="00225E05" w:rsidTr="0035010B">
        <w:trPr>
          <w:trHeight w:val="37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 Possible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Low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Very High</w:t>
            </w:r>
          </w:p>
        </w:tc>
      </w:tr>
      <w:tr w:rsidR="00DE5193" w:rsidRPr="00225E05" w:rsidTr="0035010B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Could occur (21 – 50% chance)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</w:p>
        </w:tc>
      </w:tr>
      <w:tr w:rsidR="00DE5193" w:rsidRPr="00225E05" w:rsidTr="0035010B">
        <w:trPr>
          <w:trHeight w:val="3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 Unlikely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Low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</w:tr>
      <w:tr w:rsidR="00DE5193" w:rsidRPr="00225E05" w:rsidTr="0035010B">
        <w:trPr>
          <w:trHeight w:val="35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Remote chance (1 – 20% chance) of occurring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DE5193" w:rsidRPr="00225E05" w:rsidTr="0035010B">
        <w:trPr>
          <w:trHeight w:val="32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 Rare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Low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Low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3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Moderate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E5193" w:rsidRPr="00225E05" w:rsidRDefault="00DE5193" w:rsidP="003501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High</w:t>
            </w:r>
          </w:p>
        </w:tc>
      </w:tr>
      <w:tr w:rsidR="00DE5193" w:rsidRPr="00225E05" w:rsidTr="0035010B">
        <w:trPr>
          <w:trHeight w:val="32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5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May occur in exceptional circumstances (&lt;1% chance)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93" w:rsidRPr="00225E05" w:rsidRDefault="00DE5193" w:rsidP="0035010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</w:tbl>
    <w:p w:rsidR="00131039" w:rsidRDefault="00131039" w:rsidP="001D18CE">
      <w:pPr>
        <w:tabs>
          <w:tab w:val="center" w:pos="9000"/>
        </w:tabs>
        <w:rPr>
          <w:rFonts w:cs="Arial"/>
          <w:sz w:val="16"/>
          <w:szCs w:val="16"/>
        </w:rPr>
      </w:pPr>
    </w:p>
    <w:p w:rsidR="00131039" w:rsidRDefault="00131039" w:rsidP="001D18CE">
      <w:pPr>
        <w:tabs>
          <w:tab w:val="center" w:pos="9000"/>
        </w:tabs>
        <w:rPr>
          <w:rFonts w:cs="Arial"/>
          <w:sz w:val="16"/>
          <w:szCs w:val="16"/>
        </w:rPr>
      </w:pPr>
    </w:p>
    <w:sectPr w:rsidR="00131039" w:rsidSect="00DE51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412" w:right="253" w:bottom="426" w:left="567" w:header="42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29" w:rsidRDefault="007C7629" w:rsidP="001C42E1">
      <w:r>
        <w:separator/>
      </w:r>
    </w:p>
  </w:endnote>
  <w:endnote w:type="continuationSeparator" w:id="0">
    <w:p w:rsidR="007C7629" w:rsidRDefault="007C7629" w:rsidP="001C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42" w:rsidRPr="007041AF" w:rsidRDefault="001C7942" w:rsidP="00BD699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7041AF">
      <w:rPr>
        <w:rFonts w:ascii="Arial" w:hAnsi="Arial" w:cs="Arial"/>
        <w:sz w:val="18"/>
        <w:szCs w:val="18"/>
      </w:rPr>
      <w:t xml:space="preserve">Policy </w:t>
    </w:r>
    <w:hyperlink r:id="rId1" w:history="1">
      <w:r w:rsidRPr="0075521C">
        <w:rPr>
          <w:rStyle w:val="Hyperlink"/>
          <w:rFonts w:ascii="Arial" w:hAnsi="Arial" w:cs="Arial"/>
          <w:sz w:val="18"/>
          <w:szCs w:val="18"/>
        </w:rPr>
        <w:t>Toolkit</w:t>
      </w:r>
    </w:hyperlink>
    <w:r w:rsidRPr="007041AF">
      <w:rPr>
        <w:rFonts w:ascii="Arial" w:hAnsi="Arial" w:cs="Arial"/>
        <w:sz w:val="18"/>
        <w:szCs w:val="18"/>
      </w:rPr>
      <w:t xml:space="preserve">: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E1" w:rsidRDefault="001C4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E1" w:rsidRPr="001868D4" w:rsidRDefault="001C42E1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E1" w:rsidRDefault="001C4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29" w:rsidRDefault="007C7629" w:rsidP="001C42E1">
      <w:r>
        <w:separator/>
      </w:r>
    </w:p>
  </w:footnote>
  <w:footnote w:type="continuationSeparator" w:id="0">
    <w:p w:rsidR="007C7629" w:rsidRDefault="007C7629" w:rsidP="001C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E1" w:rsidRDefault="001C4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E1" w:rsidRPr="00DE5193" w:rsidRDefault="001C42E1" w:rsidP="00DE5193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E1" w:rsidRDefault="001C4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4E4400"/>
    <w:multiLevelType w:val="hybridMultilevel"/>
    <w:tmpl w:val="E326B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4070"/>
    <w:multiLevelType w:val="hybridMultilevel"/>
    <w:tmpl w:val="CBB0D18E"/>
    <w:lvl w:ilvl="0" w:tplc="85A80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010E"/>
    <w:multiLevelType w:val="hybridMultilevel"/>
    <w:tmpl w:val="2EC49116"/>
    <w:lvl w:ilvl="0" w:tplc="91B2C2D8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C08A9"/>
    <w:multiLevelType w:val="hybridMultilevel"/>
    <w:tmpl w:val="42DC4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F98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E1"/>
    <w:rsid w:val="000129DF"/>
    <w:rsid w:val="00131039"/>
    <w:rsid w:val="001868D4"/>
    <w:rsid w:val="001A0B88"/>
    <w:rsid w:val="001C42E1"/>
    <w:rsid w:val="001C7942"/>
    <w:rsid w:val="001D18CE"/>
    <w:rsid w:val="001D6EB3"/>
    <w:rsid w:val="00200206"/>
    <w:rsid w:val="002750F3"/>
    <w:rsid w:val="003B655E"/>
    <w:rsid w:val="00424FF8"/>
    <w:rsid w:val="00444C0C"/>
    <w:rsid w:val="004E5DA5"/>
    <w:rsid w:val="005162DE"/>
    <w:rsid w:val="005F261B"/>
    <w:rsid w:val="00645927"/>
    <w:rsid w:val="0065633E"/>
    <w:rsid w:val="007041AF"/>
    <w:rsid w:val="00752A4C"/>
    <w:rsid w:val="0075521C"/>
    <w:rsid w:val="007C7629"/>
    <w:rsid w:val="00972E8B"/>
    <w:rsid w:val="009D708A"/>
    <w:rsid w:val="00A30049"/>
    <w:rsid w:val="00A41D96"/>
    <w:rsid w:val="00AA5C27"/>
    <w:rsid w:val="00B6531F"/>
    <w:rsid w:val="00D401EF"/>
    <w:rsid w:val="00DA1736"/>
    <w:rsid w:val="00DE5193"/>
    <w:rsid w:val="00E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1902"/>
  <w15:docId w15:val="{58D1B39D-C335-405D-84B0-E981B8B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E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42E1"/>
    <w:pPr>
      <w:keepNext/>
      <w:numPr>
        <w:numId w:val="1"/>
      </w:numPr>
      <w:suppressAutoHyphens/>
      <w:jc w:val="both"/>
      <w:outlineLvl w:val="0"/>
    </w:pPr>
    <w:rPr>
      <w:rFonts w:ascii="Arial Narrow" w:eastAsia="Times New Roman" w:hAnsi="Arial Narrow" w:cs="Arial Narrow"/>
      <w:b/>
      <w:iCs/>
      <w:sz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1C42E1"/>
    <w:pPr>
      <w:keepNext/>
      <w:numPr>
        <w:ilvl w:val="1"/>
        <w:numId w:val="1"/>
      </w:numPr>
      <w:suppressAutoHyphens/>
      <w:outlineLvl w:val="1"/>
    </w:pPr>
    <w:rPr>
      <w:rFonts w:ascii="Arial Narrow" w:eastAsia="Times New Roman" w:hAnsi="Arial Narrow" w:cs="Arial Narrow"/>
      <w:b/>
      <w:bCs/>
      <w:sz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1C42E1"/>
    <w:pPr>
      <w:keepNext/>
      <w:numPr>
        <w:ilvl w:val="2"/>
        <w:numId w:val="1"/>
      </w:numPr>
      <w:suppressAutoHyphens/>
      <w:jc w:val="both"/>
      <w:outlineLvl w:val="2"/>
    </w:pPr>
    <w:rPr>
      <w:rFonts w:ascii="Arial" w:eastAsia="Times New Roman" w:hAnsi="Arial" w:cs="Arial"/>
      <w:b/>
      <w:bCs/>
      <w:i/>
      <w:iCs/>
      <w:sz w:val="20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1C42E1"/>
    <w:pPr>
      <w:keepNext/>
      <w:numPr>
        <w:ilvl w:val="3"/>
        <w:numId w:val="1"/>
      </w:numPr>
      <w:suppressAutoHyphens/>
      <w:jc w:val="right"/>
      <w:outlineLvl w:val="3"/>
    </w:pPr>
    <w:rPr>
      <w:rFonts w:ascii="Arial" w:eastAsia="Times New Roman" w:hAnsi="Arial" w:cs="Arial"/>
      <w:b/>
      <w:bCs/>
      <w:sz w:val="20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1C42E1"/>
    <w:pPr>
      <w:keepNext/>
      <w:numPr>
        <w:ilvl w:val="4"/>
        <w:numId w:val="1"/>
      </w:numPr>
      <w:suppressAutoHyphens/>
      <w:jc w:val="right"/>
      <w:outlineLvl w:val="4"/>
    </w:pPr>
    <w:rPr>
      <w:rFonts w:ascii="Arial" w:eastAsia="Times New Roman" w:hAnsi="Arial" w:cs="Arial"/>
      <w:b/>
      <w:bCs/>
      <w:i/>
      <w:iCs/>
      <w:sz w:val="20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1C42E1"/>
    <w:pPr>
      <w:keepNext/>
      <w:numPr>
        <w:ilvl w:val="5"/>
        <w:numId w:val="1"/>
      </w:numPr>
      <w:suppressAutoHyphens/>
      <w:jc w:val="right"/>
      <w:outlineLvl w:val="5"/>
    </w:pPr>
    <w:rPr>
      <w:rFonts w:ascii="Arial Narrow" w:eastAsia="Times New Roman" w:hAnsi="Arial Narrow" w:cs="Arial Narrow"/>
      <w:b/>
      <w:bCs/>
      <w:i/>
      <w:iCs/>
      <w:sz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1C42E1"/>
    <w:pPr>
      <w:keepNext/>
      <w:numPr>
        <w:ilvl w:val="6"/>
        <w:numId w:val="1"/>
      </w:numPr>
      <w:suppressAutoHyphens/>
      <w:jc w:val="center"/>
      <w:outlineLvl w:val="6"/>
    </w:pPr>
    <w:rPr>
      <w:rFonts w:ascii="Arial" w:eastAsia="Times New Roman" w:hAnsi="Arial" w:cs="Arial"/>
      <w:b/>
      <w:bCs/>
      <w:i/>
      <w:iCs/>
      <w:sz w:val="20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1C42E1"/>
    <w:pPr>
      <w:keepNext/>
      <w:numPr>
        <w:ilvl w:val="7"/>
        <w:numId w:val="1"/>
      </w:numPr>
      <w:suppressAutoHyphens/>
      <w:jc w:val="center"/>
      <w:outlineLvl w:val="7"/>
    </w:pPr>
    <w:rPr>
      <w:rFonts w:ascii="Arial Narrow" w:eastAsia="Times New Roman" w:hAnsi="Arial Narrow" w:cs="Arial Narrow"/>
      <w:b/>
      <w:bCs/>
      <w:i/>
      <w:iCs/>
      <w:sz w:val="22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1C42E1"/>
    <w:pPr>
      <w:keepNext/>
      <w:numPr>
        <w:ilvl w:val="8"/>
        <w:numId w:val="1"/>
      </w:numPr>
      <w:suppressAutoHyphens/>
      <w:outlineLvl w:val="8"/>
    </w:pPr>
    <w:rPr>
      <w:rFonts w:ascii="Arial" w:eastAsia="Times New Roman" w:hAnsi="Arial" w:cs="Arial"/>
      <w:b/>
      <w:bCs/>
      <w:sz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2E1"/>
    <w:rPr>
      <w:rFonts w:ascii="Arial Narrow" w:eastAsia="Times New Roman" w:hAnsi="Arial Narrow" w:cs="Arial Narrow"/>
      <w:b/>
      <w:iCs/>
      <w:szCs w:val="24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1C42E1"/>
    <w:rPr>
      <w:rFonts w:ascii="Arial Narrow" w:eastAsia="Times New Roman" w:hAnsi="Arial Narrow" w:cs="Arial Narrow"/>
      <w:b/>
      <w:bCs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1C42E1"/>
    <w:rPr>
      <w:rFonts w:ascii="Arial" w:eastAsia="Times New Roman" w:hAnsi="Arial" w:cs="Arial"/>
      <w:b/>
      <w:bCs/>
      <w:i/>
      <w:iCs/>
      <w:sz w:val="20"/>
      <w:szCs w:val="24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1C42E1"/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1C42E1"/>
    <w:rPr>
      <w:rFonts w:ascii="Arial" w:eastAsia="Times New Roman" w:hAnsi="Arial" w:cs="Arial"/>
      <w:b/>
      <w:bCs/>
      <w:i/>
      <w:iCs/>
      <w:sz w:val="20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1C42E1"/>
    <w:rPr>
      <w:rFonts w:ascii="Arial Narrow" w:eastAsia="Times New Roman" w:hAnsi="Arial Narrow" w:cs="Arial Narrow"/>
      <w:b/>
      <w:bCs/>
      <w:i/>
      <w:iCs/>
      <w:szCs w:val="24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1C42E1"/>
    <w:rPr>
      <w:rFonts w:ascii="Arial" w:eastAsia="Times New Roman" w:hAnsi="Arial" w:cs="Arial"/>
      <w:b/>
      <w:bCs/>
      <w:i/>
      <w:iCs/>
      <w:sz w:val="20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1C42E1"/>
    <w:rPr>
      <w:rFonts w:ascii="Arial Narrow" w:eastAsia="Times New Roman" w:hAnsi="Arial Narrow" w:cs="Arial Narrow"/>
      <w:b/>
      <w:bCs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1C42E1"/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customStyle="1" w:styleId="TableText">
    <w:name w:val="Table Text"/>
    <w:basedOn w:val="Normal"/>
    <w:rsid w:val="001C42E1"/>
    <w:pPr>
      <w:suppressAutoHyphens/>
      <w:spacing w:before="60" w:after="6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ableHeader">
    <w:name w:val="Table Header"/>
    <w:basedOn w:val="TableText"/>
    <w:rsid w:val="001C42E1"/>
    <w:rPr>
      <w:b/>
    </w:rPr>
  </w:style>
  <w:style w:type="paragraph" w:styleId="ListParagraph">
    <w:name w:val="List Paragraph"/>
    <w:basedOn w:val="Normal"/>
    <w:uiPriority w:val="34"/>
    <w:qFormat/>
    <w:rsid w:val="001C42E1"/>
    <w:pPr>
      <w:suppressAutoHyphens/>
      <w:ind w:left="720"/>
      <w:contextualSpacing/>
    </w:pPr>
    <w:rPr>
      <w:rFonts w:ascii="Arial Narrow" w:eastAsia="Times New Roman" w:hAnsi="Arial Narrow" w:cs="Arial Narrow"/>
      <w:sz w:val="22"/>
      <w:lang w:val="en-GB" w:eastAsia="ar-SA"/>
    </w:rPr>
  </w:style>
  <w:style w:type="table" w:styleId="TableGrid">
    <w:name w:val="Table Grid"/>
    <w:basedOn w:val="TableNormal"/>
    <w:uiPriority w:val="59"/>
    <w:rsid w:val="001C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2E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2E1"/>
    <w:rPr>
      <w:rFonts w:eastAsiaTheme="minorEastAsia"/>
      <w:sz w:val="24"/>
      <w:szCs w:val="24"/>
      <w:lang w:val="en-US"/>
    </w:rPr>
  </w:style>
  <w:style w:type="character" w:styleId="Hyperlink">
    <w:name w:val="Hyperlink"/>
    <w:uiPriority w:val="99"/>
    <w:rsid w:val="001C79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F9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q.edu.au/policy/docs/children/procedur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policy@mq.edu.a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icy@mq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staff.mq.edu.au/work/strategy-planning-and-governance/university-policies-and-procedures/policies/delegations-of-authorit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olicy@mq.edu.au" TargetMode="External"/><Relationship Id="rId14" Type="http://schemas.openxmlformats.org/officeDocument/2006/relationships/hyperlink" Target="http://www.austlii.edu.au/au/legis/nsw/consol_act/patga1966307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aff.mq.edu.au/work/strategy-planning-and-governance/university-policies-and-procedures/policy-toolkit-and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5DBF-CE30-4993-89F7-1A24E52E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MQU</dc:creator>
  <cp:lastModifiedBy>Ms Ellen Carlson</cp:lastModifiedBy>
  <cp:revision>18</cp:revision>
  <dcterms:created xsi:type="dcterms:W3CDTF">2018-03-02T03:57:00Z</dcterms:created>
  <dcterms:modified xsi:type="dcterms:W3CDTF">2018-03-14T00:44:00Z</dcterms:modified>
</cp:coreProperties>
</file>